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HONORABLE CONCEJO DELIBERANTE DE LA CIUDAD DE ESQUINA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PROYECTO DE ORDENANZA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RÉGIMEN MUNICIPAL DE PREVENCIÓN, CONTROL Y SANCIÓN DE LAS INMISIONES MOLESTAS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VISTO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El artículo 41 y 75 inciso 22 de la Constitución Nacional; el artículo 1973 del Código Civil y Comercial de la Nación; la Ley General del Ambiente N.º 25.675; y las facultades de policía municipal.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CONSIDERANDO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Que la Constitución Nacional reconoce el derecho de todos los habitantes a gozar de un ambiente sano.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Que la Constitución de la Provincia de Corrientes reconoce la autonomía municipal y las facultades para dictar normas de salubridad, higiene, seguridad, ambiente y convivencia ciudadana.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Que el artículo 1973 del Código Civil y Comercial de la Nación establece que las molestias ocasionadas por humo, calor, olores, luminosidad, ruidos, vibraciones o inmisiones similares no deben exceder la normal tolerancia según las condiciones del lugar.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Que resulta necesario establecer un régimen municipal destinado a prevenir, controlar y sancionar administrativamente dichas conductas, sin perjuicio de las acciones judiciales previstas en la legislación vigente.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Por ello,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EL HONORABLE CONCEJO DELIBERANTE DE LA CIUDAD DE ESQUINA SANCIONA CON FUERZA DE ORDENANZA: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CAPÍTULO I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Disposiciones Generales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Artículo 1°. La presente ordenanza tiene por objeto prevenir, controlar y sancionar administrativamente las inmisiones que excedan la normal tolerancia prevista en el artículo 1973 del Código Civil y Comercial de la Nación.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Artículo 2°. Será de aplicación en todo el departamento de Esquina  y alcanzará a personas humanas, jurídicas, establecimientos comerciales, industriales, de servicios y cualquier otra actividad pública o privada.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Artículo 3°. A los fines de esta ordenanza se consideran inmisiones, entre otras, los ruidos, vibraciones, humo, polvo, olores, gases, vapores, calor, luminosidad excesiva y toda otra emisión que afecte la salud, el ambiente o la normal convivencia.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CAPÍTULO II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Autoridad de Aplicación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Artículo 4°. Será Autoridad de Aplicación el Departamento Ejecutivo Municipal a través del área o áreas  que determine.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Artículo 5°. Tendrá facultades para inspeccionar, realizar mediciones, requerir documentación, ordenar medidas preventivas, labrar actas y aplicar las sanciones previstas en esta ordenanza.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CAPÍTULO III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  <w:t xml:space="preserve">Régimen Contravencional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Artículo 6°. Constituye contravención producir, permitir o mantener inmisiones que excedan la normal tolerancia conforme al artículo 1973 del Código Civil y Comercial de la Nación.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Artículo 7°. Las infracciones serán sancionadas con: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a) Apercibimiento.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b) Multa de 500  a 2.000 Unidades Fijas Municipales.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c) Decomiso.</w:t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d) Clausura preventiva del inmueble.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 xml:space="preserve">e) Clausura temporaria del  inmueble.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  <w:t xml:space="preserve">f) Clausura definitiva del  inmueble cuando exista reincidencia grave o peligro para la salud pública.</w:t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Artículo 8°. Para graduar la sanción se considerarán la gravedad del hecho, el daño ocasionado, la duración, la reincidencia, el beneficio obtenido y la conducta posterior del infractor.</w:t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  <w:t xml:space="preserve">CAPÍTULO IV</w:t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  <w:t xml:space="preserve">Procedimiento</w:t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Artículo 9°. Toda persona podrá denunciar infracciones ante la Municipalidad.</w:t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  <w:t xml:space="preserve">Artículo 10°. Verificada la infracción, se labrará acta y se notificará al presunto infractor, quien dispondrá de cinco (5) días hábiles para presentar su descargo.</w:t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  <w:t xml:space="preserve">Artículo 11°. La Autoridad de Aplicación podrá disponer medidas preventivas inmediatas cuando exista riesgo para la salud, el ambiente o la seguridad de las personas.</w:t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  <w:t xml:space="preserve">Artículo 12°. La resolución administrativa deberá ser fundada y será recurrible conforme a la normativa municipal vigente.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  <w:t xml:space="preserve">CAPÍTULO V</w:t>
      </w:r>
    </w:p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  <w:t xml:space="preserve">Disposiciones Complementarias</w:t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  <w:t xml:space="preserve">Artículo 13°. El Departamento Ejecutivo reglamentará la presente ordenanza dentro de los sesenta (60) días corridos de su promulgación.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  <w:t xml:space="preserve">Artículo 14°. Facúltase al Departamento Ejecutivo a establecer protocolos de medición de ruidos, vibraciones, emisiones, olores y demás inmisiones, pudiendo adoptar normas técnicas nacionales o internacionales.</w:t>
      </w:r>
    </w:p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  <w:t xml:space="preserve">Artículo 15°. Comuníquese, publíquese, regístrese y archívese.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